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E15BF8" w:rsidRPr="00E15BF8" w14:paraId="2670A379" w14:textId="77777777" w:rsidTr="00677DDD">
        <w:tc>
          <w:tcPr>
            <w:tcW w:w="675" w:type="dxa"/>
          </w:tcPr>
          <w:p w14:paraId="56E08D47" w14:textId="77777777" w:rsidR="00E15BF8" w:rsidRPr="00E15BF8" w:rsidRDefault="00E15BF8" w:rsidP="00E1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proofErr w:type="spellStart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crt</w:t>
            </w:r>
            <w:proofErr w:type="spellEnd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7F98BC9F" w14:textId="77777777" w:rsidR="00E15BF8" w:rsidRPr="00E15BF8" w:rsidRDefault="00E15BF8" w:rsidP="00E15BF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Numar</w:t>
            </w:r>
            <w:proofErr w:type="spellEnd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dispozitie</w:t>
            </w:r>
            <w:proofErr w:type="spellEnd"/>
          </w:p>
        </w:tc>
        <w:tc>
          <w:tcPr>
            <w:tcW w:w="8148" w:type="dxa"/>
          </w:tcPr>
          <w:p w14:paraId="21892C2E" w14:textId="77777777" w:rsidR="00E15BF8" w:rsidRPr="00E15BF8" w:rsidRDefault="00E15BF8" w:rsidP="00E1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Obiectul</w:t>
            </w:r>
            <w:proofErr w:type="spellEnd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dispozitiei</w:t>
            </w:r>
            <w:proofErr w:type="spellEnd"/>
          </w:p>
        </w:tc>
      </w:tr>
      <w:tr w:rsidR="00C34919" w:rsidRPr="009905E8" w14:paraId="3408392A" w14:textId="77777777" w:rsidTr="00677DDD">
        <w:trPr>
          <w:trHeight w:val="386"/>
        </w:trPr>
        <w:tc>
          <w:tcPr>
            <w:tcW w:w="675" w:type="dxa"/>
          </w:tcPr>
          <w:p w14:paraId="4A3C2CBA" w14:textId="77777777" w:rsidR="00C34919" w:rsidRPr="00E15BF8" w:rsidRDefault="00C34919" w:rsidP="00C34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18CB843" w14:textId="5FDD22D6" w:rsidR="00C34919" w:rsidRPr="00E15BF8" w:rsidRDefault="00C34919" w:rsidP="00C34919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8148" w:type="dxa"/>
          </w:tcPr>
          <w:p w14:paraId="0E8589E8" w14:textId="2B07DB57" w:rsidR="00C34919" w:rsidRPr="00E15BF8" w:rsidRDefault="00C34919" w:rsidP="00C34919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lang w:val="ro-RO"/>
                <w14:ligatures w14:val="none"/>
              </w:rPr>
            </w:pPr>
            <w:r w:rsidRPr="00C34919">
              <w:rPr>
                <w:lang w:val="it-CH"/>
              </w:rPr>
              <w:t>Privind convocarea ședinței ordinare a Consiliului Local al comunei Râciu.</w:t>
            </w:r>
          </w:p>
        </w:tc>
      </w:tr>
      <w:tr w:rsidR="00C34919" w:rsidRPr="00E15BF8" w14:paraId="10DB1C6F" w14:textId="77777777" w:rsidTr="00677DDD">
        <w:trPr>
          <w:trHeight w:val="288"/>
        </w:trPr>
        <w:tc>
          <w:tcPr>
            <w:tcW w:w="675" w:type="dxa"/>
          </w:tcPr>
          <w:p w14:paraId="3A85C1DC" w14:textId="77777777" w:rsidR="00C34919" w:rsidRPr="00E15BF8" w:rsidRDefault="00C34919" w:rsidP="00C34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5BF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386ADC97" w14:textId="687029D2" w:rsidR="00C34919" w:rsidRPr="00E15BF8" w:rsidRDefault="00C34919" w:rsidP="00C34919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8148" w:type="dxa"/>
          </w:tcPr>
          <w:p w14:paraId="769D6FE8" w14:textId="677672F8" w:rsidR="00C34919" w:rsidRPr="00E15BF8" w:rsidRDefault="00C34919" w:rsidP="00C34919">
            <w:pPr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bCs/>
                <w:kern w:val="0"/>
                <w:lang w:val="ro-RO"/>
                <w14:ligatures w14:val="none"/>
              </w:rPr>
            </w:pPr>
            <w:proofErr w:type="spellStart"/>
            <w:r w:rsidRPr="00863F7A">
              <w:t>Privind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constituirea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Comisiei</w:t>
            </w:r>
            <w:proofErr w:type="spellEnd"/>
            <w:r w:rsidRPr="00863F7A">
              <w:t xml:space="preserve"> de examen, </w:t>
            </w:r>
            <w:proofErr w:type="spellStart"/>
            <w:r w:rsidRPr="00863F7A">
              <w:t>respectiv</w:t>
            </w:r>
            <w:proofErr w:type="spellEnd"/>
            <w:r w:rsidRPr="00863F7A">
              <w:t xml:space="preserve"> a </w:t>
            </w:r>
            <w:proofErr w:type="spellStart"/>
            <w:r w:rsidRPr="00863F7A">
              <w:t>Comisiei</w:t>
            </w:r>
            <w:proofErr w:type="spellEnd"/>
            <w:r w:rsidRPr="00863F7A">
              <w:t xml:space="preserve"> de </w:t>
            </w:r>
            <w:proofErr w:type="spellStart"/>
            <w:r w:rsidRPr="00863F7A">
              <w:t>soluționare</w:t>
            </w:r>
            <w:proofErr w:type="spellEnd"/>
            <w:r w:rsidRPr="00863F7A">
              <w:t xml:space="preserve"> a </w:t>
            </w:r>
            <w:proofErr w:type="spellStart"/>
            <w:r w:rsidRPr="00863F7A">
              <w:t>contestațiilor</w:t>
            </w:r>
            <w:proofErr w:type="spellEnd"/>
            <w:r w:rsidRPr="00863F7A">
              <w:t xml:space="preserve">, </w:t>
            </w:r>
            <w:proofErr w:type="spellStart"/>
            <w:r w:rsidRPr="00863F7A">
              <w:t>pentru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concursul</w:t>
            </w:r>
            <w:proofErr w:type="spellEnd"/>
            <w:r w:rsidRPr="00863F7A">
              <w:t xml:space="preserve"> de </w:t>
            </w:r>
            <w:proofErr w:type="spellStart"/>
            <w:r w:rsidRPr="00863F7A">
              <w:t>recrutare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pentru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ocuparea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unor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funcții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publice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vacante</w:t>
            </w:r>
            <w:proofErr w:type="spellEnd"/>
            <w:r w:rsidRPr="00863F7A">
              <w:t xml:space="preserve"> de </w:t>
            </w:r>
            <w:proofErr w:type="spellStart"/>
            <w:r w:rsidRPr="00863F7A">
              <w:t>consilier</w:t>
            </w:r>
            <w:proofErr w:type="spellEnd"/>
            <w:r w:rsidRPr="00863F7A">
              <w:t xml:space="preserve"> grad </w:t>
            </w:r>
            <w:proofErr w:type="spellStart"/>
            <w:r w:rsidRPr="00863F7A">
              <w:t>profesional</w:t>
            </w:r>
            <w:proofErr w:type="spellEnd"/>
            <w:r w:rsidRPr="00863F7A">
              <w:t xml:space="preserve"> debutant </w:t>
            </w:r>
            <w:proofErr w:type="spellStart"/>
            <w:r w:rsidRPr="00863F7A">
              <w:t>în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cadrul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compartimentului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agricol</w:t>
            </w:r>
            <w:proofErr w:type="spellEnd"/>
            <w:r w:rsidRPr="00863F7A">
              <w:t xml:space="preserve">, </w:t>
            </w:r>
            <w:proofErr w:type="spellStart"/>
            <w:r w:rsidRPr="00863F7A">
              <w:t>cadastru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și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relații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publice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și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consilier</w:t>
            </w:r>
            <w:proofErr w:type="spellEnd"/>
            <w:r w:rsidRPr="00863F7A">
              <w:t xml:space="preserve"> grad </w:t>
            </w:r>
            <w:proofErr w:type="spellStart"/>
            <w:r w:rsidRPr="00863F7A">
              <w:t>profesional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asistent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în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cadrul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compartimentului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financiar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contabil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și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resurse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umane</w:t>
            </w:r>
            <w:proofErr w:type="spellEnd"/>
            <w:r w:rsidRPr="00863F7A">
              <w:t xml:space="preserve"> din </w:t>
            </w:r>
            <w:proofErr w:type="spellStart"/>
            <w:r w:rsidRPr="00863F7A">
              <w:t>aparatul</w:t>
            </w:r>
            <w:proofErr w:type="spellEnd"/>
            <w:r w:rsidRPr="00863F7A">
              <w:t xml:space="preserve"> de </w:t>
            </w:r>
            <w:proofErr w:type="spellStart"/>
            <w:r w:rsidRPr="00863F7A">
              <w:t>specialitate</w:t>
            </w:r>
            <w:proofErr w:type="spellEnd"/>
            <w:r w:rsidRPr="00863F7A">
              <w:t xml:space="preserve"> al </w:t>
            </w:r>
            <w:proofErr w:type="spellStart"/>
            <w:r w:rsidRPr="00863F7A">
              <w:t>primarului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comunei</w:t>
            </w:r>
            <w:proofErr w:type="spellEnd"/>
            <w:r w:rsidRPr="00863F7A">
              <w:t xml:space="preserve"> </w:t>
            </w:r>
            <w:proofErr w:type="spellStart"/>
            <w:r w:rsidRPr="00863F7A">
              <w:t>Râciu</w:t>
            </w:r>
            <w:proofErr w:type="spellEnd"/>
            <w:r w:rsidRPr="00863F7A">
              <w:t>.</w:t>
            </w:r>
          </w:p>
        </w:tc>
      </w:tr>
      <w:tr w:rsidR="00C92BAD" w:rsidRPr="00E15BF8" w14:paraId="15356162" w14:textId="77777777" w:rsidTr="00677DDD">
        <w:trPr>
          <w:trHeight w:val="288"/>
        </w:trPr>
        <w:tc>
          <w:tcPr>
            <w:tcW w:w="675" w:type="dxa"/>
          </w:tcPr>
          <w:p w14:paraId="40C29118" w14:textId="359A366F" w:rsidR="00C92BAD" w:rsidRPr="00E15BF8" w:rsidRDefault="00C92BAD" w:rsidP="00C9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034511B3" w14:textId="0583290A" w:rsidR="00C92BAD" w:rsidRDefault="00C92BAD" w:rsidP="00C92BAD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8148" w:type="dxa"/>
          </w:tcPr>
          <w:p w14:paraId="0BC4BA8D" w14:textId="04A6E231" w:rsidR="00C92BAD" w:rsidRPr="00863F7A" w:rsidRDefault="00C92BAD" w:rsidP="00C92BAD">
            <w:pPr>
              <w:spacing w:after="0" w:line="240" w:lineRule="auto"/>
              <w:ind w:right="99"/>
              <w:jc w:val="both"/>
            </w:pPr>
            <w:proofErr w:type="spellStart"/>
            <w:r w:rsidRPr="00D17638">
              <w:t>Privind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incetarea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acordării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venitului</w:t>
            </w:r>
            <w:proofErr w:type="spellEnd"/>
            <w:r w:rsidRPr="00D17638">
              <w:t xml:space="preserve"> minim de </w:t>
            </w:r>
            <w:proofErr w:type="spellStart"/>
            <w:r w:rsidRPr="00D17638">
              <w:t>incluziune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numitei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Mesaroș</w:t>
            </w:r>
            <w:proofErr w:type="spellEnd"/>
            <w:r w:rsidRPr="00D17638">
              <w:t xml:space="preserve"> Andreea.</w:t>
            </w:r>
          </w:p>
        </w:tc>
      </w:tr>
      <w:tr w:rsidR="00C92BAD" w:rsidRPr="00E15BF8" w14:paraId="3E06A8E2" w14:textId="77777777" w:rsidTr="00677DDD">
        <w:trPr>
          <w:trHeight w:val="288"/>
        </w:trPr>
        <w:tc>
          <w:tcPr>
            <w:tcW w:w="675" w:type="dxa"/>
          </w:tcPr>
          <w:p w14:paraId="2540F642" w14:textId="74319C4D" w:rsidR="00C92BAD" w:rsidRDefault="00C92BAD" w:rsidP="00C9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48340A0F" w14:textId="2E461C07" w:rsidR="00C92BAD" w:rsidRDefault="00C92BAD" w:rsidP="00C92BAD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8148" w:type="dxa"/>
          </w:tcPr>
          <w:p w14:paraId="0F72B140" w14:textId="11402496" w:rsidR="00C92BAD" w:rsidRPr="00863F7A" w:rsidRDefault="00C92BAD" w:rsidP="00C92BAD">
            <w:pPr>
              <w:spacing w:after="0" w:line="240" w:lineRule="auto"/>
              <w:ind w:right="99"/>
              <w:jc w:val="both"/>
            </w:pPr>
            <w:proofErr w:type="spellStart"/>
            <w:r w:rsidRPr="00D17638">
              <w:t>Privind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incetarea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acordării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venitului</w:t>
            </w:r>
            <w:proofErr w:type="spellEnd"/>
            <w:r w:rsidRPr="00D17638">
              <w:t xml:space="preserve"> minim de </w:t>
            </w:r>
            <w:proofErr w:type="spellStart"/>
            <w:r w:rsidRPr="00D17638">
              <w:t>incluziune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numitului</w:t>
            </w:r>
            <w:proofErr w:type="spellEnd"/>
            <w:r w:rsidRPr="00D17638">
              <w:t xml:space="preserve"> Bojan Călin.</w:t>
            </w:r>
          </w:p>
        </w:tc>
      </w:tr>
      <w:tr w:rsidR="00C92BAD" w:rsidRPr="00E15BF8" w14:paraId="3BFEB608" w14:textId="77777777" w:rsidTr="00677DDD">
        <w:trPr>
          <w:trHeight w:val="288"/>
        </w:trPr>
        <w:tc>
          <w:tcPr>
            <w:tcW w:w="675" w:type="dxa"/>
          </w:tcPr>
          <w:p w14:paraId="40657250" w14:textId="37431178" w:rsidR="00C92BAD" w:rsidRPr="00E15BF8" w:rsidRDefault="00C92BAD" w:rsidP="00C9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0EDF2E8C" w14:textId="1C13714E" w:rsidR="00C92BAD" w:rsidRDefault="00C92BAD" w:rsidP="00C92BAD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8148" w:type="dxa"/>
          </w:tcPr>
          <w:p w14:paraId="23096F47" w14:textId="64C84FA9" w:rsidR="00C92BAD" w:rsidRPr="00863F7A" w:rsidRDefault="00C92BAD" w:rsidP="00C92BAD">
            <w:pPr>
              <w:spacing w:after="0" w:line="240" w:lineRule="auto"/>
              <w:ind w:right="99"/>
              <w:jc w:val="both"/>
            </w:pPr>
            <w:proofErr w:type="spellStart"/>
            <w:r w:rsidRPr="00D17638">
              <w:t>Privind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incetarea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acordării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venitului</w:t>
            </w:r>
            <w:proofErr w:type="spellEnd"/>
            <w:r w:rsidRPr="00D17638">
              <w:t xml:space="preserve"> minim de </w:t>
            </w:r>
            <w:proofErr w:type="spellStart"/>
            <w:r w:rsidRPr="00D17638">
              <w:t>incluziune</w:t>
            </w:r>
            <w:proofErr w:type="spellEnd"/>
            <w:r w:rsidRPr="00D17638">
              <w:t xml:space="preserve"> </w:t>
            </w:r>
            <w:proofErr w:type="spellStart"/>
            <w:r w:rsidRPr="00D17638">
              <w:t>numitului</w:t>
            </w:r>
            <w:proofErr w:type="spellEnd"/>
            <w:r w:rsidRPr="00D17638">
              <w:t xml:space="preserve"> Lukacs Dănilă.</w:t>
            </w:r>
          </w:p>
        </w:tc>
      </w:tr>
    </w:tbl>
    <w:p w14:paraId="45B91E2B" w14:textId="064368E8" w:rsidR="00E15BF8" w:rsidRPr="00E15BF8" w:rsidRDefault="00E15BF8" w:rsidP="00E15BF8">
      <w:pPr>
        <w:spacing w:line="259" w:lineRule="auto"/>
        <w:rPr>
          <w:rFonts w:ascii="Aptos" w:eastAsia="Aptos" w:hAnsi="Aptos" w:cs="Times New Roman"/>
          <w:lang w:val="it-CH"/>
        </w:rPr>
      </w:pPr>
      <w:r w:rsidRPr="00E15BF8">
        <w:rPr>
          <w:rFonts w:ascii="Aptos" w:eastAsia="Aptos" w:hAnsi="Aptos" w:cs="Times New Roman"/>
          <w:lang w:val="it-CH"/>
        </w:rPr>
        <w:t xml:space="preserve">Dispoziții emise în luna </w:t>
      </w:r>
      <w:r>
        <w:rPr>
          <w:rFonts w:ascii="Aptos" w:eastAsia="Aptos" w:hAnsi="Aptos" w:cs="Times New Roman"/>
          <w:lang w:val="it-CH"/>
        </w:rPr>
        <w:t>iunie</w:t>
      </w:r>
      <w:r w:rsidRPr="00E15BF8">
        <w:rPr>
          <w:rFonts w:ascii="Aptos" w:eastAsia="Aptos" w:hAnsi="Aptos" w:cs="Times New Roman"/>
          <w:lang w:val="it-CH"/>
        </w:rPr>
        <w:t xml:space="preserve"> 2025</w:t>
      </w:r>
    </w:p>
    <w:p w14:paraId="69C73F79" w14:textId="77777777" w:rsidR="00DB494F" w:rsidRPr="00E15BF8" w:rsidRDefault="00DB494F">
      <w:pPr>
        <w:rPr>
          <w:lang w:val="it-CH"/>
        </w:rPr>
      </w:pPr>
    </w:p>
    <w:sectPr w:rsidR="00DB494F" w:rsidRPr="00E15B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F8"/>
    <w:rsid w:val="003240CE"/>
    <w:rsid w:val="003B734C"/>
    <w:rsid w:val="008B7E50"/>
    <w:rsid w:val="009420E2"/>
    <w:rsid w:val="009905E8"/>
    <w:rsid w:val="00C34919"/>
    <w:rsid w:val="00C92BAD"/>
    <w:rsid w:val="00DB494F"/>
    <w:rsid w:val="00E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1E5E"/>
  <w15:chartTrackingRefBased/>
  <w15:docId w15:val="{86DF6EB0-5B82-4603-A1C5-BFFAD301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2</cp:revision>
  <dcterms:created xsi:type="dcterms:W3CDTF">2025-08-26T11:50:00Z</dcterms:created>
  <dcterms:modified xsi:type="dcterms:W3CDTF">2025-08-26T11:50:00Z</dcterms:modified>
</cp:coreProperties>
</file>